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023/2008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Manifesta-se sobre alunos de 7 anos matriculados diretamente no  2º ano do 1º ciclo.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Conselho Municipal de Educação recebeu da Secretaria Municipal de Educação, através do Of. Asp. Leg. nº 509/2008, a solicitação de um parecer quanto à situação de alunos de 7anos que foram matriculados no 2º ano do 1º ciclo.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0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Considerando a LDBEN, no “caput” do artigo 23 que trata “A Educação Básica poderá organizar-se em séries anuais, períodos semestrais, ciclos, alternância regular de períodos de estudos, grupos não seriados, com base na idade, na competência e em outros critérios, ou por forma diversa de organização, sempre que o interesse do processo de aprendizagem assim o recomendar”, reescrito na íntegra no Parecer CNE/CEB Nº7/2007, complementando ainda que o novo Ensino Fundamental de nove anos aponta, nitidamente, para outras formas de organização do tempo e do espaço escolar. No que se refere ao tempo escolar, pergunta-se: por que não organizar os anos escolares, principalmente os iniciais, em ciclos didático-pedagógicos? Talvez tenha chegado o momento de os sistemas de ensino aprofundarem os estudos sobre os ciclos de aprendizagem, diferenciados de séries ou anos de estudos.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ciclos não são mais uma moda pedagógica, muitas redes estão organizando a escola em ciclos, sendo que os tempos educativos da escola propõem-se a respeitar os tempos da vida, tempos sociais, mentais, culturais dos educandos.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Miguel Arroyo, em um diálogo realizado com a profa. Eustáquia, da Faculdade de Educação da Universidade Federal de Minas Gerais, afirma “É bom saber que a maioria dos sistemas educativos da Europa já está organizada assim. Há tempos já não se fala mais em série. Nós somos um dos países em que a organização seriada é uma das mais rígidas do mundo. A lógica da organização seriada é tão forte que influencia os agrupamentos educativos até na diversidade de práticas de educação não formal. O respeito aos sujeitos educandos (as) e a seus tempos humanos, mentais, culturais, sociais, identitários  deveria ser um princípio norteador de toda ação educativa”.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Temos em nossa rede de ensino três escolas cicladas, demandando algumas orientações específicas a fim de atender às necessidades das mesmas, pois nesse período de transição do Ensino Fundamental de oito anos para nove anos, surgem dúvidas quanto a situações que a legislação não deixa tão clara.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necessário entendermos que a função da escola e de toda instituição educativa é dar conta do desenvolvimento pleno dos educandos, é se preocupar com a formação integral dos mesmos, em todas as dimensões.  Para tanto, é fundamental compreender como se dá o desenvolvimento dos alunos, como se formam, como aprendem e se socializam, pois o processo de formação do ser humano passa por tempos diferentes: tempo da infância, da adolescência, juventude, vida adulta. É uma questão de reconsiderar a idéia que sempre esteve presente de que a formação do ser humano é um processo de construção, que passa por temporalidades diferentes. É recuperar algo que fazemos na vida familiar. Nós não tratamos da mesma maneira uma criança de dois anos, uma de três, um pré-adolescente de dez, ou um adolescente de catorze. A idéia de ciclo é ciclo da vida, é tempo da vida, temporalidade da formação humana.</w:t>
      </w:r>
    </w:p>
    <w:p w:rsidR="00000000" w:rsidDel="00000000" w:rsidP="00000000" w:rsidRDefault="00000000" w:rsidRPr="00000000" w14:paraId="00000011">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A preocupação da Secretaria se expressa nesta pergunta: “Os alunos de sete anos, que foram matriculados no 2º ano do 1º ciclo estão com lacuna no 1º ano do 1º ciclo?”</w:t>
      </w:r>
    </w:p>
    <w:p w:rsidR="00000000" w:rsidDel="00000000" w:rsidP="00000000" w:rsidRDefault="00000000" w:rsidRPr="00000000" w14:paraId="00000012">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Entendemos que a consulta encaminhada pela secretaria demonstra o comprometimento em resolver problemas quanto ao funcionamento das escolas, garantindo que as novas formas de organização dos tempos e  espaços escolares estejam em consonância com a legislação, visando a aprendizagem de qualidade a todos os alunos de nossa rede, </w:t>
      </w:r>
    </w:p>
    <w:p w:rsidR="00000000" w:rsidDel="00000000" w:rsidP="00000000" w:rsidRDefault="00000000" w:rsidRPr="00000000" w14:paraId="00000013">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r>
    </w:p>
    <w:p w:rsidR="00000000" w:rsidDel="00000000" w:rsidP="00000000" w:rsidRDefault="00000000" w:rsidRPr="00000000" w14:paraId="00000014">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Ressaltamos que no item 7.5 que trata da Classificação, o Regimento Escolar Padrão, que regulamenta as escolas municipais organizadas por ciclos de formação, assim se manifesta: “Classificar significa posicionar o aluno em qualquer ano do ciclo do Ensino Fundamental compatível com a sua idade, experiência, nível de desenvolvimento e conhecimento, segundo o processo de avaliação definido pela escola neste Regimento Escolar.”.</w:t>
      </w:r>
    </w:p>
    <w:p w:rsidR="00000000" w:rsidDel="00000000" w:rsidP="00000000" w:rsidRDefault="00000000" w:rsidRPr="00000000" w14:paraId="00000015">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Excetua-se aqui o primeiro ano do Ensino Fundamental. “O ingresso nele depende da idade cronológica da criança, ficando vedado qualquer tipo de avaliação que visa classificá-la.” Na última frase está explícita a lógica de entrada dos alunos dos ciclos – vinculada à idade cronológica.</w:t>
      </w:r>
    </w:p>
    <w:p w:rsidR="00000000" w:rsidDel="00000000" w:rsidP="00000000" w:rsidRDefault="00000000" w:rsidRPr="00000000" w14:paraId="00000016">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No próprio objeto da consulta, a SMED assim se pronuncia: “As escolas que estão organizadas por Ciclos de Formação já possuem, obrigatoriamente, o Ensino Fundamental de nove anos. Estas escolas, de acordo com a idade e nível de desenvolvimento do aluno, realizam a enturmação, matriculando os alunos de sete anos no 2° Ano do 1º Ciclo.”.</w:t>
      </w:r>
    </w:p>
    <w:p w:rsidR="00000000" w:rsidDel="00000000" w:rsidP="00000000" w:rsidRDefault="00000000" w:rsidRPr="00000000" w14:paraId="00000018">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000000"/>
          <w:sz w:val="24"/>
          <w:szCs w:val="24"/>
          <w:vertAlign w:val="baseline"/>
        </w:rPr>
      </w:pPr>
      <w:r w:rsidDel="00000000" w:rsidR="00000000" w:rsidRPr="00000000">
        <w:rPr>
          <w:color w:val="000000"/>
          <w:sz w:val="24"/>
          <w:szCs w:val="24"/>
          <w:vertAlign w:val="baseline"/>
          <w:rtl w:val="0"/>
        </w:rPr>
        <w:tab/>
      </w:r>
      <w:r w:rsidDel="00000000" w:rsidR="00000000" w:rsidRPr="00000000">
        <w:rPr>
          <w:rtl w:val="0"/>
        </w:rPr>
      </w:r>
    </w:p>
    <w:p w:rsidR="00000000" w:rsidDel="00000000" w:rsidP="00000000" w:rsidRDefault="00000000" w:rsidRPr="00000000" w14:paraId="0000001A">
      <w:pPr>
        <w:jc w:val="both"/>
        <w:rPr>
          <w:rFonts w:ascii="Verdana" w:cs="Verdana" w:eastAsia="Verdana" w:hAnsi="Verdana"/>
          <w:color w:val="000099"/>
          <w:sz w:val="24"/>
          <w:szCs w:val="24"/>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sz w:val="24"/>
          <w:szCs w:val="24"/>
          <w:vertAlign w:val="baseline"/>
        </w:rPr>
      </w:pPr>
      <w:r w:rsidDel="00000000" w:rsidR="00000000" w:rsidRPr="00000000">
        <w:rPr>
          <w:vertAlign w:val="baseline"/>
          <w:rtl w:val="0"/>
        </w:rPr>
        <w:tab/>
      </w:r>
      <w:r w:rsidDel="00000000" w:rsidR="00000000" w:rsidRPr="00000000">
        <w:rPr>
          <w:rFonts w:ascii="Arial" w:cs="Arial" w:eastAsia="Arial" w:hAnsi="Arial"/>
          <w:color w:val="000000"/>
          <w:sz w:val="24"/>
          <w:szCs w:val="24"/>
          <w:vertAlign w:val="baseline"/>
          <w:rtl w:val="0"/>
        </w:rPr>
        <w:t xml:space="preserve">             </w:t>
      </w:r>
    </w:p>
    <w:p w:rsidR="00000000" w:rsidDel="00000000" w:rsidP="00000000" w:rsidRDefault="00000000" w:rsidRPr="00000000" w14:paraId="0000001C">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 </w:t>
      </w:r>
      <w:r w:rsidDel="00000000" w:rsidR="00000000" w:rsidRPr="00000000">
        <w:rPr>
          <w:rFonts w:ascii="Arial" w:cs="Arial" w:eastAsia="Arial" w:hAnsi="Arial"/>
          <w:b w:val="1"/>
          <w:color w:val="000000"/>
          <w:sz w:val="24"/>
          <w:szCs w:val="24"/>
          <w:vertAlign w:val="baseline"/>
          <w:rtl w:val="0"/>
        </w:rPr>
        <w:t xml:space="preserve">CONCLUSÃO</w:t>
      </w:r>
      <w:r w:rsidDel="00000000" w:rsidR="00000000" w:rsidRPr="00000000">
        <w:rPr>
          <w:rFonts w:ascii="Arial" w:cs="Arial" w:eastAsia="Arial" w:hAnsi="Arial"/>
          <w:color w:val="000000"/>
          <w:sz w:val="24"/>
          <w:szCs w:val="24"/>
          <w:vertAlign w:val="baseline"/>
          <w:rtl w:val="0"/>
        </w:rPr>
        <w:t xml:space="preserve"> </w:t>
      </w:r>
    </w:p>
    <w:p w:rsidR="00000000" w:rsidDel="00000000" w:rsidP="00000000" w:rsidRDefault="00000000" w:rsidRPr="00000000" w14:paraId="0000001E">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Partindo do pressuposto que a organização curricular em Ciclos de Formação é anterior às leis que determinam a matrícula obrigatória aos 6 anos de idade e o Ensino Fundamental de nove anos, cuja lógica,  já foi neste parecer explicitada, este colegiado conclui que os alunos matriculados no 2º ano do 1º ciclo não possuem lacuna no 1º ano do 1º ciclo.</w:t>
      </w:r>
    </w:p>
    <w:p w:rsidR="00000000" w:rsidDel="00000000" w:rsidP="00000000" w:rsidRDefault="00000000" w:rsidRPr="00000000" w14:paraId="00000020">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     </w:t>
        <w:tab/>
      </w:r>
    </w:p>
    <w:p w:rsidR="00000000" w:rsidDel="00000000" w:rsidP="00000000" w:rsidRDefault="00000000" w:rsidRPr="00000000" w14:paraId="00000021">
      <w:pPr>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22">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Aprovado em 24 de setembro de 2008 pelos conselheiros:</w:t>
      </w:r>
    </w:p>
    <w:p w:rsidR="00000000" w:rsidDel="00000000" w:rsidP="00000000" w:rsidRDefault="00000000" w:rsidRPr="00000000" w14:paraId="00000024">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r>
    </w:p>
    <w:p w:rsidR="00000000" w:rsidDel="00000000" w:rsidP="00000000" w:rsidRDefault="00000000" w:rsidRPr="00000000" w14:paraId="00000025">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r>
    </w:p>
    <w:p w:rsidR="00000000" w:rsidDel="00000000" w:rsidP="00000000" w:rsidRDefault="00000000" w:rsidRPr="00000000" w14:paraId="00000026">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Ana Paula Lagemann;</w:t>
      </w:r>
    </w:p>
    <w:p w:rsidR="00000000" w:rsidDel="00000000" w:rsidP="00000000" w:rsidRDefault="00000000" w:rsidRPr="00000000" w14:paraId="00000027">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José Roberto de Oliveira Jardim;</w:t>
      </w:r>
    </w:p>
    <w:p w:rsidR="00000000" w:rsidDel="00000000" w:rsidP="00000000" w:rsidRDefault="00000000" w:rsidRPr="00000000" w14:paraId="00000028">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José Sírio de Deus;</w:t>
      </w:r>
    </w:p>
    <w:p w:rsidR="00000000" w:rsidDel="00000000" w:rsidP="00000000" w:rsidRDefault="00000000" w:rsidRPr="00000000" w14:paraId="00000029">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Neusa Nunes e Nunes;</w:t>
      </w:r>
    </w:p>
    <w:p w:rsidR="00000000" w:rsidDel="00000000" w:rsidP="00000000" w:rsidRDefault="00000000" w:rsidRPr="00000000" w14:paraId="0000002A">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Rejane Maria Garcia Pacheco;</w:t>
      </w:r>
    </w:p>
    <w:p w:rsidR="00000000" w:rsidDel="00000000" w:rsidP="00000000" w:rsidRDefault="00000000" w:rsidRPr="00000000" w14:paraId="0000002B">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Rosa Maria Lippert Cardoso;</w:t>
      </w:r>
    </w:p>
    <w:p w:rsidR="00000000" w:rsidDel="00000000" w:rsidP="00000000" w:rsidRDefault="00000000" w:rsidRPr="00000000" w14:paraId="0000002C">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Rosângela dos Santos Silva Saul;</w:t>
      </w:r>
    </w:p>
    <w:p w:rsidR="00000000" w:rsidDel="00000000" w:rsidP="00000000" w:rsidRDefault="00000000" w:rsidRPr="00000000" w14:paraId="0000002D">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Maria das Graças Triches de Lima;</w:t>
      </w:r>
    </w:p>
    <w:p w:rsidR="00000000" w:rsidDel="00000000" w:rsidP="00000000" w:rsidRDefault="00000000" w:rsidRPr="00000000" w14:paraId="0000002E">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Sílvio Moreira;</w:t>
      </w:r>
    </w:p>
    <w:p w:rsidR="00000000" w:rsidDel="00000000" w:rsidP="00000000" w:rsidRDefault="00000000" w:rsidRPr="00000000" w14:paraId="0000002F">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Teresinha Jacqueline Gimenez;</w:t>
      </w:r>
    </w:p>
    <w:p w:rsidR="00000000" w:rsidDel="00000000" w:rsidP="00000000" w:rsidRDefault="00000000" w:rsidRPr="00000000" w14:paraId="00000030">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Soraia Espezim de Carvalho;</w:t>
      </w:r>
    </w:p>
    <w:p w:rsidR="00000000" w:rsidDel="00000000" w:rsidP="00000000" w:rsidRDefault="00000000" w:rsidRPr="00000000" w14:paraId="00000031">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Maria Glaci Souza de Almeida;</w:t>
      </w:r>
    </w:p>
    <w:p w:rsidR="00000000" w:rsidDel="00000000" w:rsidP="00000000" w:rsidRDefault="00000000" w:rsidRPr="00000000" w14:paraId="00000032">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Lea Araújo Mondo.</w:t>
      </w:r>
    </w:p>
    <w:p w:rsidR="00000000" w:rsidDel="00000000" w:rsidP="00000000" w:rsidRDefault="00000000" w:rsidRPr="00000000" w14:paraId="00000033">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Marco Aurélio de Andrade Viva.</w:t>
      </w:r>
    </w:p>
    <w:p w:rsidR="00000000" w:rsidDel="00000000" w:rsidP="00000000" w:rsidRDefault="00000000" w:rsidRPr="00000000" w14:paraId="00000034">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r>
    </w:p>
    <w:p w:rsidR="00000000" w:rsidDel="00000000" w:rsidP="00000000" w:rsidRDefault="00000000" w:rsidRPr="00000000" w14:paraId="00000035">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Voto contrário: </w:t>
      </w:r>
    </w:p>
    <w:p w:rsidR="00000000" w:rsidDel="00000000" w:rsidP="00000000" w:rsidRDefault="00000000" w:rsidRPr="00000000" w14:paraId="00000036">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Ângela Severo Varela;</w:t>
      </w:r>
    </w:p>
    <w:p w:rsidR="00000000" w:rsidDel="00000000" w:rsidP="00000000" w:rsidRDefault="00000000" w:rsidRPr="00000000" w14:paraId="00000037">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r>
    </w:p>
    <w:p w:rsidR="00000000" w:rsidDel="00000000" w:rsidP="00000000" w:rsidRDefault="00000000" w:rsidRPr="00000000" w14:paraId="00000038">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Abstenção:</w:t>
      </w:r>
    </w:p>
    <w:p w:rsidR="00000000" w:rsidDel="00000000" w:rsidP="00000000" w:rsidRDefault="00000000" w:rsidRPr="00000000" w14:paraId="00000039">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Nilce Guilhermina Farias da Silva;</w:t>
      </w:r>
    </w:p>
    <w:p w:rsidR="00000000" w:rsidDel="00000000" w:rsidP="00000000" w:rsidRDefault="00000000" w:rsidRPr="00000000" w14:paraId="0000003A">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ab/>
        <w:t xml:space="preserve">                                       Cachoeirinha, 24 de setembro de 2008.</w:t>
      </w:r>
    </w:p>
    <w:p w:rsidR="00000000" w:rsidDel="00000000" w:rsidP="00000000" w:rsidRDefault="00000000" w:rsidRPr="00000000" w14:paraId="0000003C">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D">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E">
      <w:pPr>
        <w:jc w:val="right"/>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ab/>
        <w:t xml:space="preserve"> </w:t>
      </w:r>
    </w:p>
    <w:p w:rsidR="00000000" w:rsidDel="00000000" w:rsidP="00000000" w:rsidRDefault="00000000" w:rsidRPr="00000000" w14:paraId="0000003F">
      <w:pPr>
        <w:jc w:val="right"/>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Rosa Maria Lippert Cardoso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w:t>
      </w:r>
      <w:r w:rsidDel="00000000" w:rsidR="00000000" w:rsidRPr="00000000">
        <w:rPr>
          <w:rtl w:val="0"/>
        </w:rPr>
      </w:r>
    </w:p>
    <w:sectPr>
      <w:headerReference r:id="rId6" w:type="default"/>
      <w:pgSz w:h="15840" w:w="12240" w:orient="portrait"/>
      <w:pgMar w:bottom="851" w:top="1418" w:left="170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030" cy="9131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030" cy="913130"/>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Bairro Eunice Velha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cmecaeb@hotmail.com.br</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